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E2" w:rsidRPr="001713B4" w:rsidRDefault="00105D75" w:rsidP="00105D75">
      <w:pPr>
        <w:jc w:val="center"/>
        <w:rPr>
          <w:rFonts w:ascii="Times New Roman" w:hAnsi="Times New Roman" w:cs="Times New Roman"/>
          <w:sz w:val="24"/>
        </w:rPr>
      </w:pPr>
      <w:r w:rsidRPr="001713B4">
        <w:rPr>
          <w:rFonts w:ascii="Times New Roman" w:hAnsi="Times New Roman" w:cs="Times New Roman"/>
          <w:sz w:val="24"/>
        </w:rPr>
        <w:t>Seminario de</w:t>
      </w:r>
    </w:p>
    <w:p w:rsidR="00105D75" w:rsidRPr="001713B4" w:rsidRDefault="00105D75" w:rsidP="00105D75">
      <w:pPr>
        <w:jc w:val="center"/>
        <w:rPr>
          <w:rFonts w:ascii="Times New Roman" w:hAnsi="Times New Roman" w:cs="Times New Roman"/>
          <w:b/>
          <w:sz w:val="40"/>
        </w:rPr>
      </w:pPr>
      <w:r w:rsidRPr="001713B4">
        <w:rPr>
          <w:rFonts w:ascii="Times New Roman" w:hAnsi="Times New Roman" w:cs="Times New Roman"/>
          <w:b/>
          <w:sz w:val="40"/>
        </w:rPr>
        <w:t>TEORÍA DE JUEGOS</w:t>
      </w:r>
    </w:p>
    <w:p w:rsidR="00105D75" w:rsidRDefault="00105D75" w:rsidP="00105D75">
      <w:pPr>
        <w:jc w:val="center"/>
        <w:rPr>
          <w:rFonts w:ascii="Times New Roman" w:hAnsi="Times New Roman" w:cs="Times New Roman"/>
          <w:b/>
          <w:sz w:val="24"/>
        </w:rPr>
      </w:pPr>
      <w:r w:rsidRPr="00105D75">
        <w:rPr>
          <w:rFonts w:ascii="Times New Roman" w:hAnsi="Times New Roman" w:cs="Times New Roman"/>
          <w:b/>
          <w:sz w:val="24"/>
        </w:rPr>
        <w:t>Profesor: Leandro Arozamena, Ph.D.</w:t>
      </w:r>
    </w:p>
    <w:p w:rsidR="002443BF" w:rsidRDefault="00105D75" w:rsidP="00105D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Leandro Arozamena es Doctor en Economía (Ph.D.) por la Universidad de Harvard (Estados Unidos), donde también obtuvo una Maestría en </w:t>
      </w:r>
      <w:r w:rsidR="001713B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conomía (Master of Arts). Así también, es Licenciado en Economía</w:t>
      </w:r>
      <w:r w:rsidR="00F229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por la Universidad Nacional del Sur (Bahía Blanca, Argentina). En la actualidad el Doctor Arozamena se desempeña como p</w:t>
      </w:r>
      <w:r w:rsidRPr="00105D75">
        <w:rPr>
          <w:rFonts w:ascii="Times New Roman" w:hAnsi="Times New Roman" w:cs="Times New Roman"/>
          <w:sz w:val="24"/>
        </w:rPr>
        <w:t>rofesor asociado</w:t>
      </w:r>
      <w:r>
        <w:rPr>
          <w:rFonts w:ascii="Times New Roman" w:hAnsi="Times New Roman" w:cs="Times New Roman"/>
          <w:sz w:val="24"/>
        </w:rPr>
        <w:t xml:space="preserve"> y d</w:t>
      </w:r>
      <w:r w:rsidRPr="00105D75">
        <w:rPr>
          <w:rFonts w:ascii="Times New Roman" w:hAnsi="Times New Roman" w:cs="Times New Roman"/>
          <w:sz w:val="24"/>
        </w:rPr>
        <w:t xml:space="preserve">irector de la Licenciatura en Economía, </w:t>
      </w:r>
      <w:r>
        <w:rPr>
          <w:rFonts w:ascii="Times New Roman" w:hAnsi="Times New Roman" w:cs="Times New Roman"/>
          <w:sz w:val="24"/>
        </w:rPr>
        <w:t xml:space="preserve">en la </w:t>
      </w:r>
      <w:r w:rsidRPr="00105D75">
        <w:rPr>
          <w:rFonts w:ascii="Times New Roman" w:hAnsi="Times New Roman" w:cs="Times New Roman"/>
          <w:sz w:val="24"/>
        </w:rPr>
        <w:t>Universidad Torcuato Di Tella</w:t>
      </w:r>
      <w:r>
        <w:rPr>
          <w:rFonts w:ascii="Times New Roman" w:hAnsi="Times New Roman" w:cs="Times New Roman"/>
          <w:sz w:val="24"/>
        </w:rPr>
        <w:t xml:space="preserve"> (Buenos Aires, Argentina) e </w:t>
      </w:r>
      <w:r w:rsidRPr="00105D75">
        <w:rPr>
          <w:rFonts w:ascii="Times New Roman" w:hAnsi="Times New Roman" w:cs="Times New Roman"/>
          <w:sz w:val="24"/>
        </w:rPr>
        <w:t>Investigador adjunto</w:t>
      </w:r>
      <w:r>
        <w:rPr>
          <w:rFonts w:ascii="Times New Roman" w:hAnsi="Times New Roman" w:cs="Times New Roman"/>
          <w:sz w:val="24"/>
        </w:rPr>
        <w:t xml:space="preserve"> del </w:t>
      </w:r>
      <w:r w:rsidR="00F2291B">
        <w:rPr>
          <w:rFonts w:ascii="Times New Roman" w:hAnsi="Times New Roman" w:cs="Times New Roman"/>
          <w:sz w:val="24"/>
        </w:rPr>
        <w:t>Consejo Nacional de Investigaciones Científicas y Técnicas (</w:t>
      </w:r>
      <w:r w:rsidRPr="00105D75">
        <w:rPr>
          <w:rFonts w:ascii="Times New Roman" w:hAnsi="Times New Roman" w:cs="Times New Roman"/>
          <w:sz w:val="24"/>
        </w:rPr>
        <w:t>CONICET</w:t>
      </w:r>
      <w:r w:rsidR="00F2291B">
        <w:rPr>
          <w:rFonts w:ascii="Times New Roman" w:hAnsi="Times New Roman" w:cs="Times New Roman"/>
          <w:sz w:val="24"/>
        </w:rPr>
        <w:t>)</w:t>
      </w:r>
      <w:r w:rsidRPr="00105D75">
        <w:rPr>
          <w:rFonts w:ascii="Times New Roman" w:hAnsi="Times New Roman" w:cs="Times New Roman"/>
          <w:sz w:val="24"/>
        </w:rPr>
        <w:t>.</w:t>
      </w:r>
      <w:r w:rsidR="00E13582">
        <w:rPr>
          <w:rFonts w:ascii="Times New Roman" w:hAnsi="Times New Roman" w:cs="Times New Roman"/>
          <w:sz w:val="24"/>
        </w:rPr>
        <w:t xml:space="preserve"> El Doctor Arozamena tiene publicaciones en </w:t>
      </w:r>
      <w:r w:rsidR="00E13582">
        <w:rPr>
          <w:rFonts w:ascii="Times New Roman" w:hAnsi="Times New Roman" w:cs="Times New Roman"/>
          <w:i/>
          <w:sz w:val="24"/>
        </w:rPr>
        <w:t>journals</w:t>
      </w:r>
      <w:r w:rsidR="00E13582">
        <w:rPr>
          <w:rFonts w:ascii="Times New Roman" w:hAnsi="Times New Roman" w:cs="Times New Roman"/>
          <w:sz w:val="24"/>
        </w:rPr>
        <w:t xml:space="preserve"> internacionales (como ser </w:t>
      </w:r>
      <w:r w:rsidR="00E13582">
        <w:rPr>
          <w:rFonts w:ascii="Times New Roman" w:hAnsi="Times New Roman" w:cs="Times New Roman"/>
          <w:i/>
          <w:sz w:val="24"/>
        </w:rPr>
        <w:t>Journal of International Money, Review of Economic Studies, European Economic Review</w:t>
      </w:r>
      <w:r w:rsidR="00E13582">
        <w:rPr>
          <w:rFonts w:ascii="Times New Roman" w:hAnsi="Times New Roman" w:cs="Times New Roman"/>
          <w:sz w:val="24"/>
        </w:rPr>
        <w:t xml:space="preserve">, entre otros). </w:t>
      </w:r>
      <w:r w:rsidR="00F2291B">
        <w:rPr>
          <w:rFonts w:ascii="Times New Roman" w:hAnsi="Times New Roman" w:cs="Times New Roman"/>
          <w:sz w:val="24"/>
        </w:rPr>
        <w:t>Su</w:t>
      </w:r>
      <w:r w:rsidR="002443BF">
        <w:rPr>
          <w:rFonts w:ascii="Times New Roman" w:hAnsi="Times New Roman" w:cs="Times New Roman"/>
          <w:sz w:val="24"/>
        </w:rPr>
        <w:t xml:space="preserve"> área</w:t>
      </w:r>
      <w:r w:rsidR="00E13582">
        <w:rPr>
          <w:rFonts w:ascii="Times New Roman" w:hAnsi="Times New Roman" w:cs="Times New Roman"/>
          <w:sz w:val="24"/>
        </w:rPr>
        <w:t xml:space="preserve"> de trabajo </w:t>
      </w:r>
      <w:r w:rsidR="002443BF">
        <w:rPr>
          <w:rFonts w:ascii="Times New Roman" w:hAnsi="Times New Roman" w:cs="Times New Roman"/>
          <w:sz w:val="24"/>
        </w:rPr>
        <w:t>se encuentra en m</w:t>
      </w:r>
      <w:r w:rsidR="00E13582">
        <w:rPr>
          <w:rFonts w:ascii="Times New Roman" w:hAnsi="Times New Roman" w:cs="Times New Roman"/>
          <w:sz w:val="24"/>
        </w:rPr>
        <w:t>icroeconomía,</w:t>
      </w:r>
      <w:r w:rsidR="002443BF">
        <w:rPr>
          <w:rFonts w:ascii="Times New Roman" w:hAnsi="Times New Roman" w:cs="Times New Roman"/>
          <w:sz w:val="24"/>
        </w:rPr>
        <w:t xml:space="preserve"> y dentro de ella en los temas:</w:t>
      </w:r>
      <w:r w:rsidR="00E13582">
        <w:rPr>
          <w:rFonts w:ascii="Times New Roman" w:hAnsi="Times New Roman" w:cs="Times New Roman"/>
          <w:sz w:val="24"/>
        </w:rPr>
        <w:t xml:space="preserve"> Organización Industrial y Teoría de Juegos. </w:t>
      </w:r>
      <w:r w:rsidR="002443BF">
        <w:rPr>
          <w:rFonts w:ascii="Times New Roman" w:hAnsi="Times New Roman" w:cs="Times New Roman"/>
          <w:sz w:val="24"/>
        </w:rPr>
        <w:t>Sitio del profesor Arozamena en:</w:t>
      </w:r>
    </w:p>
    <w:p w:rsidR="00105D75" w:rsidRDefault="006E4566" w:rsidP="00105D75">
      <w:pPr>
        <w:jc w:val="both"/>
        <w:rPr>
          <w:rFonts w:ascii="Times New Roman" w:hAnsi="Times New Roman" w:cs="Times New Roman"/>
          <w:sz w:val="24"/>
        </w:rPr>
      </w:pPr>
      <w:hyperlink r:id="rId6" w:history="1">
        <w:r w:rsidR="002443BF" w:rsidRPr="00D9734E">
          <w:rPr>
            <w:rStyle w:val="Hipervnculo"/>
            <w:rFonts w:ascii="Times New Roman" w:hAnsi="Times New Roman" w:cs="Times New Roman"/>
            <w:sz w:val="24"/>
          </w:rPr>
          <w:t>http://www.utdt.edu/ver_contenido.php?id_contenido=3107&amp;id_item_menu=5894</w:t>
        </w:r>
      </w:hyperlink>
    </w:p>
    <w:p w:rsidR="002443BF" w:rsidRDefault="002443BF" w:rsidP="00105D75">
      <w:pPr>
        <w:jc w:val="both"/>
        <w:rPr>
          <w:rFonts w:ascii="Times New Roman" w:hAnsi="Times New Roman" w:cs="Times New Roman"/>
          <w:sz w:val="24"/>
        </w:rPr>
      </w:pP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PROGRAMA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1 – </w:t>
      </w:r>
      <w:r w:rsidRPr="00F2291B">
        <w:rPr>
          <w:rFonts w:ascii="Times New Roman" w:hAnsi="Times New Roman" w:cs="Times New Roman"/>
          <w:sz w:val="24"/>
          <w:u w:val="single"/>
        </w:rPr>
        <w:t>Juegos estáticos con información completa</w:t>
      </w:r>
      <w:r>
        <w:rPr>
          <w:rFonts w:ascii="Times New Roman" w:hAnsi="Times New Roman" w:cs="Times New Roman"/>
          <w:sz w:val="24"/>
        </w:rPr>
        <w:t xml:space="preserve">: </w:t>
      </w:r>
      <w:r w:rsidRPr="00F2291B">
        <w:rPr>
          <w:rFonts w:ascii="Times New Roman" w:hAnsi="Times New Roman" w:cs="Times New Roman"/>
          <w:sz w:val="24"/>
        </w:rPr>
        <w:t xml:space="preserve">Juegos en forma normal o estratégica. Estrategias dominadas. Eliminación iterativa de estrategias dominadas. Equilibrio de Nash. Estrategias mixtas. 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2 – </w:t>
      </w:r>
      <w:r w:rsidRPr="00F2291B">
        <w:rPr>
          <w:rFonts w:ascii="Times New Roman" w:hAnsi="Times New Roman" w:cs="Times New Roman"/>
          <w:sz w:val="24"/>
          <w:u w:val="single"/>
        </w:rPr>
        <w:t>Juegos dinámicos con información completa</w:t>
      </w:r>
      <w:r>
        <w:rPr>
          <w:rFonts w:ascii="Times New Roman" w:hAnsi="Times New Roman" w:cs="Times New Roman"/>
          <w:sz w:val="24"/>
        </w:rPr>
        <w:t xml:space="preserve">: </w:t>
      </w:r>
      <w:r w:rsidRPr="00F2291B">
        <w:rPr>
          <w:rFonts w:ascii="Times New Roman" w:hAnsi="Times New Roman" w:cs="Times New Roman"/>
          <w:sz w:val="24"/>
        </w:rPr>
        <w:t>Juegos en forma extensiva. Forma extensiva vs. forma estratégica. Inducción hacia atrás. Equilibrio perfecto en subjuegos.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3 – </w:t>
      </w:r>
      <w:r w:rsidRPr="00F2291B">
        <w:rPr>
          <w:rFonts w:ascii="Times New Roman" w:hAnsi="Times New Roman" w:cs="Times New Roman"/>
          <w:sz w:val="24"/>
          <w:u w:val="single"/>
        </w:rPr>
        <w:t>Juegos repetidos</w:t>
      </w:r>
      <w:r>
        <w:rPr>
          <w:rFonts w:ascii="Times New Roman" w:hAnsi="Times New Roman" w:cs="Times New Roman"/>
          <w:sz w:val="24"/>
        </w:rPr>
        <w:t xml:space="preserve">: </w:t>
      </w:r>
      <w:r w:rsidRPr="00F2291B">
        <w:rPr>
          <w:rFonts w:ascii="Times New Roman" w:hAnsi="Times New Roman" w:cs="Times New Roman"/>
          <w:sz w:val="24"/>
        </w:rPr>
        <w:t>Juegos repetidos finitamente. Juegos repetidos infinitamente. Cooperación. Teoremas “folk”.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4 – </w:t>
      </w:r>
      <w:r w:rsidRPr="00F2291B">
        <w:rPr>
          <w:rFonts w:ascii="Times New Roman" w:hAnsi="Times New Roman" w:cs="Times New Roman"/>
          <w:sz w:val="24"/>
          <w:u w:val="single"/>
        </w:rPr>
        <w:t>Juegos estáticos con información incompleta</w:t>
      </w:r>
      <w:r>
        <w:rPr>
          <w:rFonts w:ascii="Times New Roman" w:hAnsi="Times New Roman" w:cs="Times New Roman"/>
          <w:sz w:val="24"/>
        </w:rPr>
        <w:t xml:space="preserve">: </w:t>
      </w:r>
      <w:r w:rsidRPr="00F2291B">
        <w:rPr>
          <w:rFonts w:ascii="Times New Roman" w:hAnsi="Times New Roman" w:cs="Times New Roman"/>
          <w:sz w:val="24"/>
        </w:rPr>
        <w:t>Información incompleta vs. información imperfecta. Transformación de Harsanyi. Equilibrio bayesiano de Nash. Subastas. Otras aplicaciones.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5 – </w:t>
      </w:r>
      <w:r w:rsidRPr="00F2291B">
        <w:rPr>
          <w:rFonts w:ascii="Times New Roman" w:hAnsi="Times New Roman" w:cs="Times New Roman"/>
          <w:sz w:val="24"/>
          <w:u w:val="single"/>
        </w:rPr>
        <w:t>Juegos dinámicos con información incompleta</w:t>
      </w:r>
      <w:r>
        <w:rPr>
          <w:rFonts w:ascii="Times New Roman" w:hAnsi="Times New Roman" w:cs="Times New Roman"/>
          <w:sz w:val="24"/>
        </w:rPr>
        <w:t xml:space="preserve">: </w:t>
      </w:r>
      <w:r w:rsidRPr="00F2291B">
        <w:rPr>
          <w:rFonts w:ascii="Times New Roman" w:hAnsi="Times New Roman" w:cs="Times New Roman"/>
          <w:sz w:val="24"/>
        </w:rPr>
        <w:t xml:space="preserve">Equilibrio bayesiano perfecto. Otros refinamientos. Señalización y screening. </w:t>
      </w:r>
      <w:r w:rsidRPr="001713B4">
        <w:rPr>
          <w:rFonts w:ascii="Times New Roman" w:hAnsi="Times New Roman" w:cs="Times New Roman"/>
          <w:sz w:val="24"/>
        </w:rPr>
        <w:t>Otras aplicaciones.</w:t>
      </w:r>
    </w:p>
    <w:p w:rsidR="00F2291B" w:rsidRPr="001713B4" w:rsidRDefault="00F2291B" w:rsidP="00F2291B">
      <w:pPr>
        <w:jc w:val="both"/>
        <w:rPr>
          <w:rFonts w:ascii="Times New Roman" w:hAnsi="Times New Roman" w:cs="Times New Roman"/>
          <w:sz w:val="24"/>
        </w:rPr>
      </w:pPr>
    </w:p>
    <w:p w:rsidR="00F2291B" w:rsidRPr="001713B4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1713B4">
        <w:rPr>
          <w:rFonts w:ascii="Times New Roman" w:hAnsi="Times New Roman" w:cs="Times New Roman"/>
          <w:sz w:val="24"/>
          <w:u w:val="single"/>
        </w:rPr>
        <w:t>Referencias Bibliog</w:t>
      </w:r>
      <w:r w:rsidR="001C46C8">
        <w:rPr>
          <w:rFonts w:ascii="Times New Roman" w:hAnsi="Times New Roman" w:cs="Times New Roman"/>
          <w:sz w:val="24"/>
          <w:u w:val="single"/>
        </w:rPr>
        <w:t>r</w:t>
      </w:r>
      <w:r w:rsidRPr="001713B4">
        <w:rPr>
          <w:rFonts w:ascii="Times New Roman" w:hAnsi="Times New Roman" w:cs="Times New Roman"/>
          <w:sz w:val="24"/>
          <w:u w:val="single"/>
        </w:rPr>
        <w:t>áficas</w:t>
      </w:r>
      <w:r w:rsidRPr="001713B4">
        <w:rPr>
          <w:rFonts w:ascii="Times New Roman" w:hAnsi="Times New Roman" w:cs="Times New Roman"/>
          <w:sz w:val="24"/>
        </w:rPr>
        <w:t xml:space="preserve">: 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855AB">
        <w:rPr>
          <w:rFonts w:ascii="Times New Roman" w:hAnsi="Times New Roman" w:cs="Times New Roman"/>
          <w:sz w:val="24"/>
        </w:rPr>
        <w:lastRenderedPageBreak/>
        <w:t xml:space="preserve">Gibbons, Robert: </w:t>
      </w:r>
      <w:r w:rsidRPr="00F855AB">
        <w:rPr>
          <w:rFonts w:ascii="Times New Roman" w:hAnsi="Times New Roman" w:cs="Times New Roman"/>
          <w:i/>
          <w:sz w:val="24"/>
        </w:rPr>
        <w:t>Game Theory for Applied Economists</w:t>
      </w:r>
      <w:r w:rsidRPr="00F855AB">
        <w:rPr>
          <w:rFonts w:ascii="Times New Roman" w:hAnsi="Times New Roman" w:cs="Times New Roman"/>
          <w:sz w:val="24"/>
        </w:rPr>
        <w:t xml:space="preserve">, Princeton University Press, 1992. </w:t>
      </w:r>
      <w:r w:rsidRPr="00F2291B">
        <w:rPr>
          <w:rFonts w:ascii="Times New Roman" w:hAnsi="Times New Roman" w:cs="Times New Roman"/>
          <w:sz w:val="24"/>
        </w:rPr>
        <w:t xml:space="preserve">Existe una versión castellana: </w:t>
      </w:r>
      <w:r w:rsidRPr="00F2291B">
        <w:rPr>
          <w:rFonts w:ascii="Times New Roman" w:hAnsi="Times New Roman" w:cs="Times New Roman"/>
          <w:i/>
          <w:sz w:val="24"/>
        </w:rPr>
        <w:t>Un primer curso de teoría de juegos</w:t>
      </w:r>
      <w:r w:rsidRPr="00F2291B">
        <w:rPr>
          <w:rFonts w:ascii="Times New Roman" w:hAnsi="Times New Roman" w:cs="Times New Roman"/>
          <w:sz w:val="24"/>
        </w:rPr>
        <w:t>, Antoni Bosch, 1993.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  <w:lang w:val="en-US"/>
        </w:rPr>
      </w:pPr>
      <w:r w:rsidRPr="00F2291B">
        <w:rPr>
          <w:rFonts w:ascii="Times New Roman" w:hAnsi="Times New Roman" w:cs="Times New Roman"/>
          <w:sz w:val="24"/>
          <w:lang w:val="en-US"/>
        </w:rPr>
        <w:t xml:space="preserve">Dutta, Prajit K.: </w:t>
      </w:r>
      <w:r w:rsidRPr="00F2291B">
        <w:rPr>
          <w:rFonts w:ascii="Times New Roman" w:hAnsi="Times New Roman" w:cs="Times New Roman"/>
          <w:i/>
          <w:sz w:val="24"/>
          <w:lang w:val="en-US"/>
        </w:rPr>
        <w:t>Strategies and Games: Theory and Practice</w:t>
      </w:r>
      <w:r w:rsidRPr="00F2291B">
        <w:rPr>
          <w:rFonts w:ascii="Times New Roman" w:hAnsi="Times New Roman" w:cs="Times New Roman"/>
          <w:sz w:val="24"/>
          <w:lang w:val="en-US"/>
        </w:rPr>
        <w:t>, MIT Press, 1999.</w:t>
      </w: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sz w:val="24"/>
        </w:rPr>
        <w:t xml:space="preserve">Rasmusen, Eric: </w:t>
      </w:r>
      <w:r w:rsidRPr="00F2291B">
        <w:rPr>
          <w:rFonts w:ascii="Times New Roman" w:hAnsi="Times New Roman" w:cs="Times New Roman"/>
          <w:i/>
          <w:sz w:val="24"/>
        </w:rPr>
        <w:t>Games and Information</w:t>
      </w:r>
      <w:r w:rsidRPr="00F2291B">
        <w:rPr>
          <w:rFonts w:ascii="Times New Roman" w:hAnsi="Times New Roman" w:cs="Times New Roman"/>
          <w:sz w:val="24"/>
        </w:rPr>
        <w:t>, segunda edición, Blackwell, 1994.</w:t>
      </w:r>
    </w:p>
    <w:p w:rsidR="00F2291B" w:rsidRDefault="00F2291B" w:rsidP="00105D75">
      <w:pPr>
        <w:jc w:val="both"/>
        <w:rPr>
          <w:rFonts w:ascii="Times New Roman" w:hAnsi="Times New Roman" w:cs="Times New Roman"/>
          <w:b/>
          <w:sz w:val="24"/>
        </w:rPr>
      </w:pPr>
    </w:p>
    <w:p w:rsidR="00D87A06" w:rsidRDefault="00D87A06" w:rsidP="00F2291B">
      <w:pPr>
        <w:jc w:val="both"/>
        <w:rPr>
          <w:rFonts w:ascii="Times New Roman" w:hAnsi="Times New Roman" w:cs="Times New Roman"/>
          <w:b/>
          <w:sz w:val="24"/>
        </w:rPr>
      </w:pPr>
    </w:p>
    <w:p w:rsid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DESTINATARIOS</w:t>
      </w:r>
      <w:r>
        <w:rPr>
          <w:rFonts w:ascii="Times New Roman" w:hAnsi="Times New Roman" w:cs="Times New Roman"/>
          <w:sz w:val="24"/>
        </w:rPr>
        <w:t xml:space="preserve">: Economistas, </w:t>
      </w:r>
      <w:r w:rsidR="00F8784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ocentes del Departamento de Economía, Graduados en Economía, Alumnos </w:t>
      </w:r>
      <w:r w:rsidR="00D87A0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vanzados de la carrera de Lic. en Economía (entiéndase por éstos a aquellos alumnos que han regularizado, al menos, Microeconomía I y se encuentran cursando Microeconomía II)</w:t>
      </w:r>
    </w:p>
    <w:p w:rsidR="00D87A06" w:rsidRDefault="00D87A06" w:rsidP="00F2291B">
      <w:pPr>
        <w:jc w:val="both"/>
        <w:rPr>
          <w:rFonts w:ascii="Times New Roman" w:hAnsi="Times New Roman" w:cs="Times New Roman"/>
          <w:b/>
          <w:sz w:val="24"/>
        </w:rPr>
      </w:pPr>
    </w:p>
    <w:p w:rsidR="00F2291B" w:rsidRPr="00F2291B" w:rsidRDefault="00F2291B" w:rsidP="00F2291B">
      <w:pPr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b/>
          <w:sz w:val="24"/>
        </w:rPr>
        <w:t>FECHA</w:t>
      </w:r>
      <w:r w:rsidRPr="00F2291B">
        <w:rPr>
          <w:rFonts w:ascii="Times New Roman" w:hAnsi="Times New Roman" w:cs="Times New Roman"/>
          <w:sz w:val="24"/>
        </w:rPr>
        <w:t xml:space="preserve">: Las clases se dictarán </w:t>
      </w:r>
      <w:r>
        <w:rPr>
          <w:rFonts w:ascii="Times New Roman" w:hAnsi="Times New Roman" w:cs="Times New Roman"/>
          <w:sz w:val="24"/>
        </w:rPr>
        <w:t xml:space="preserve">en dos sesiones. En el mes de Mayo, los días Lunes 21 y Martes 22, </w:t>
      </w:r>
      <w:r w:rsidRPr="00F2291B">
        <w:rPr>
          <w:rFonts w:ascii="Times New Roman" w:hAnsi="Times New Roman" w:cs="Times New Roman"/>
          <w:sz w:val="24"/>
        </w:rPr>
        <w:t>de 09:00 a 12:00 horas</w:t>
      </w:r>
      <w:r>
        <w:rPr>
          <w:rFonts w:ascii="Times New Roman" w:hAnsi="Times New Roman" w:cs="Times New Roman"/>
          <w:sz w:val="24"/>
        </w:rPr>
        <w:t xml:space="preserve"> y de 16 a 18 horas</w:t>
      </w:r>
      <w:r w:rsidRPr="00F2291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En el mes de Junio</w:t>
      </w:r>
      <w:r w:rsidR="00F87840">
        <w:rPr>
          <w:rFonts w:ascii="Times New Roman" w:hAnsi="Times New Roman" w:cs="Times New Roman"/>
          <w:sz w:val="24"/>
        </w:rPr>
        <w:t xml:space="preserve">, (fecha tentativa) los días Jueves 21 y Viernes 22 </w:t>
      </w:r>
      <w:r w:rsidR="00F87840" w:rsidRPr="00F2291B">
        <w:rPr>
          <w:rFonts w:ascii="Times New Roman" w:hAnsi="Times New Roman" w:cs="Times New Roman"/>
          <w:sz w:val="24"/>
        </w:rPr>
        <w:t>de 09:00 a 12:00 horas</w:t>
      </w:r>
      <w:r w:rsidR="00F87840">
        <w:rPr>
          <w:rFonts w:ascii="Times New Roman" w:hAnsi="Times New Roman" w:cs="Times New Roman"/>
          <w:sz w:val="24"/>
        </w:rPr>
        <w:t xml:space="preserve"> y de 16 a 18 horas.</w:t>
      </w:r>
    </w:p>
    <w:p w:rsidR="00F2291B" w:rsidRDefault="00F2291B" w:rsidP="00F2291B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D87A06" w:rsidRPr="00F2291B" w:rsidRDefault="00D87A06" w:rsidP="00F2291B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F2291B" w:rsidRPr="00F2291B" w:rsidRDefault="00F2291B" w:rsidP="00F2291B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 w:rsidRPr="00F2291B">
        <w:rPr>
          <w:rFonts w:ascii="Times New Roman" w:hAnsi="Times New Roman" w:cs="Times New Roman"/>
          <w:b/>
          <w:sz w:val="24"/>
        </w:rPr>
        <w:t>LUGAR</w:t>
      </w:r>
      <w:r w:rsidRPr="00F2291B">
        <w:rPr>
          <w:rFonts w:ascii="Times New Roman" w:hAnsi="Times New Roman" w:cs="Times New Roman"/>
          <w:sz w:val="24"/>
        </w:rPr>
        <w:t xml:space="preserve">: </w:t>
      </w:r>
      <w:r w:rsidR="00F87840">
        <w:rPr>
          <w:rFonts w:ascii="Times New Roman" w:hAnsi="Times New Roman" w:cs="Times New Roman"/>
          <w:sz w:val="24"/>
        </w:rPr>
        <w:t xml:space="preserve">Aula A </w:t>
      </w:r>
      <w:r w:rsidRPr="00F2291B">
        <w:rPr>
          <w:rFonts w:ascii="Times New Roman" w:hAnsi="Times New Roman" w:cs="Times New Roman"/>
          <w:sz w:val="24"/>
        </w:rPr>
        <w:t>– (</w:t>
      </w:r>
      <w:r w:rsidR="00F855AB">
        <w:rPr>
          <w:rFonts w:ascii="Times New Roman" w:hAnsi="Times New Roman" w:cs="Times New Roman"/>
          <w:sz w:val="24"/>
        </w:rPr>
        <w:t>segundo</w:t>
      </w:r>
      <w:r w:rsidRPr="00F2291B">
        <w:rPr>
          <w:rFonts w:ascii="Times New Roman" w:hAnsi="Times New Roman" w:cs="Times New Roman"/>
          <w:sz w:val="24"/>
        </w:rPr>
        <w:t xml:space="preserve"> piso) Facultad de Ciencias Económicas, Jurídicas y Sociales de la Universidad Nacional de Salta, campo universitario Gral. San Martin Avda. Bolivia 5150. Salta Capital.</w:t>
      </w:r>
    </w:p>
    <w:p w:rsidR="00F2291B" w:rsidRDefault="00F2291B" w:rsidP="00F2291B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D87A06" w:rsidRDefault="00D87A06" w:rsidP="00F2291B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F87840" w:rsidRDefault="00F87840" w:rsidP="00F2291B">
      <w:pPr>
        <w:spacing w:after="0" w:line="0" w:lineRule="atLeast"/>
        <w:jc w:val="both"/>
        <w:rPr>
          <w:rFonts w:ascii="Times New Roman" w:hAnsi="Times New Roman" w:cs="Times New Roman"/>
          <w:b/>
          <w:sz w:val="24"/>
        </w:rPr>
      </w:pPr>
    </w:p>
    <w:p w:rsidR="00F2291B" w:rsidRPr="00F2291B" w:rsidRDefault="00F2291B" w:rsidP="00D87A06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 w:rsidRPr="00F2291B">
        <w:rPr>
          <w:rFonts w:ascii="Times New Roman" w:hAnsi="Times New Roman" w:cs="Times New Roman"/>
          <w:b/>
          <w:sz w:val="24"/>
        </w:rPr>
        <w:t>INSCRIPCIÓN E INFORMES</w:t>
      </w:r>
      <w:r w:rsidRPr="00F2291B">
        <w:rPr>
          <w:rFonts w:ascii="Times New Roman" w:hAnsi="Times New Roman" w:cs="Times New Roman"/>
          <w:sz w:val="24"/>
        </w:rPr>
        <w:t>: Departamento de Economía – Oficina 101/103. Enviar mail con datos personales</w:t>
      </w:r>
      <w:r w:rsidR="00F87840">
        <w:rPr>
          <w:rFonts w:ascii="Times New Roman" w:hAnsi="Times New Roman" w:cs="Times New Roman"/>
          <w:sz w:val="24"/>
        </w:rPr>
        <w:t xml:space="preserve"> </w:t>
      </w:r>
      <w:r w:rsidRPr="00F2291B">
        <w:rPr>
          <w:rFonts w:ascii="Times New Roman" w:hAnsi="Times New Roman" w:cs="Times New Roman"/>
          <w:sz w:val="24"/>
        </w:rPr>
        <w:t xml:space="preserve">a: </w:t>
      </w:r>
      <w:hyperlink r:id="rId7" w:history="1">
        <w:r w:rsidRPr="00F2291B">
          <w:rPr>
            <w:rStyle w:val="Hipervnculo"/>
            <w:rFonts w:ascii="Times New Roman" w:hAnsi="Times New Roman" w:cs="Times New Roman"/>
            <w:sz w:val="24"/>
          </w:rPr>
          <w:t>gcarrazan@gmail.com</w:t>
        </w:r>
      </w:hyperlink>
      <w:r w:rsidRPr="00F2291B">
        <w:rPr>
          <w:rFonts w:ascii="Times New Roman" w:hAnsi="Times New Roman" w:cs="Times New Roman"/>
          <w:sz w:val="24"/>
        </w:rPr>
        <w:t xml:space="preserve">. El </w:t>
      </w:r>
      <w:r>
        <w:rPr>
          <w:rFonts w:ascii="Times New Roman" w:hAnsi="Times New Roman" w:cs="Times New Roman"/>
          <w:sz w:val="24"/>
        </w:rPr>
        <w:t xml:space="preserve">seminario </w:t>
      </w:r>
      <w:r w:rsidRPr="00F2291B">
        <w:rPr>
          <w:rFonts w:ascii="Times New Roman" w:hAnsi="Times New Roman" w:cs="Times New Roman"/>
          <w:sz w:val="24"/>
        </w:rPr>
        <w:t xml:space="preserve">es </w:t>
      </w:r>
      <w:r w:rsidRPr="00F2291B">
        <w:rPr>
          <w:rFonts w:ascii="Times New Roman" w:hAnsi="Times New Roman" w:cs="Times New Roman"/>
          <w:sz w:val="24"/>
          <w:u w:val="single"/>
        </w:rPr>
        <w:t>sin costo</w:t>
      </w:r>
      <w:r w:rsidRPr="00F2291B">
        <w:rPr>
          <w:rFonts w:ascii="Times New Roman" w:hAnsi="Times New Roman" w:cs="Times New Roman"/>
          <w:sz w:val="24"/>
        </w:rPr>
        <w:t xml:space="preserve">. Se otorgará certificado de asistencia. Cupo: </w:t>
      </w:r>
      <w:r w:rsidRPr="00F2291B">
        <w:rPr>
          <w:rFonts w:ascii="Times New Roman" w:hAnsi="Times New Roman" w:cs="Times New Roman"/>
          <w:sz w:val="24"/>
          <w:u w:val="single"/>
        </w:rPr>
        <w:t>30 alumnos</w:t>
      </w:r>
      <w:r w:rsidRPr="00F2291B">
        <w:rPr>
          <w:rFonts w:ascii="Times New Roman" w:hAnsi="Times New Roman" w:cs="Times New Roman"/>
          <w:sz w:val="24"/>
        </w:rPr>
        <w:t>.</w:t>
      </w:r>
    </w:p>
    <w:sectPr w:rsidR="00F2291B" w:rsidRPr="00F2291B" w:rsidSect="00EA5AE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26" w:rsidRDefault="00FA2C26" w:rsidP="00105D75">
      <w:pPr>
        <w:spacing w:after="0" w:line="240" w:lineRule="auto"/>
      </w:pPr>
      <w:r>
        <w:separator/>
      </w:r>
    </w:p>
  </w:endnote>
  <w:endnote w:type="continuationSeparator" w:id="1">
    <w:p w:rsidR="00FA2C26" w:rsidRDefault="00FA2C26" w:rsidP="0010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26" w:rsidRDefault="00FA2C26" w:rsidP="00105D75">
      <w:pPr>
        <w:spacing w:after="0" w:line="240" w:lineRule="auto"/>
      </w:pPr>
      <w:r>
        <w:separator/>
      </w:r>
    </w:p>
  </w:footnote>
  <w:footnote w:type="continuationSeparator" w:id="1">
    <w:p w:rsidR="00FA2C26" w:rsidRDefault="00FA2C26" w:rsidP="0010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75" w:rsidRDefault="00F366C3" w:rsidP="00105D7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3729990</wp:posOffset>
          </wp:positionH>
          <wp:positionV relativeFrom="paragraph">
            <wp:posOffset>-354330</wp:posOffset>
          </wp:positionV>
          <wp:extent cx="1924050" cy="571500"/>
          <wp:effectExtent l="19050" t="0" r="0" b="0"/>
          <wp:wrapTight wrapText="bothSides">
            <wp:wrapPolygon edited="0">
              <wp:start x="-214" y="0"/>
              <wp:lineTo x="-214" y="20880"/>
              <wp:lineTo x="21600" y="20880"/>
              <wp:lineTo x="21600" y="0"/>
              <wp:lineTo x="-214" y="0"/>
            </wp:wrapPolygon>
          </wp:wrapTight>
          <wp:docPr id="3" name="Imagen 1" descr="D:\Gastón\UNSa\I.I.E\Familia de Logos\IIE LOGO definitivo2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stón\UNSa\I.I.E\Familia de Logos\IIE LOGO definitivo2s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5D75">
      <w:t xml:space="preserve">  </w:t>
    </w:r>
  </w:p>
  <w:p w:rsidR="00105D75" w:rsidRDefault="00105D75" w:rsidP="00105D75">
    <w:pPr>
      <w:pStyle w:val="Encabezado"/>
      <w:jc w:val="center"/>
    </w:pPr>
  </w:p>
  <w:p w:rsidR="00105D75" w:rsidRDefault="00105D75" w:rsidP="00105D75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05D75"/>
    <w:rsid w:val="00105D75"/>
    <w:rsid w:val="001713B4"/>
    <w:rsid w:val="001C46C8"/>
    <w:rsid w:val="002443BF"/>
    <w:rsid w:val="00332B65"/>
    <w:rsid w:val="00392FD7"/>
    <w:rsid w:val="003B4C5B"/>
    <w:rsid w:val="006E4566"/>
    <w:rsid w:val="008C6C66"/>
    <w:rsid w:val="00902DCB"/>
    <w:rsid w:val="00BC274C"/>
    <w:rsid w:val="00D05B3A"/>
    <w:rsid w:val="00D27AD7"/>
    <w:rsid w:val="00D87A06"/>
    <w:rsid w:val="00E13582"/>
    <w:rsid w:val="00EA5AE2"/>
    <w:rsid w:val="00ED0A6D"/>
    <w:rsid w:val="00ED17C3"/>
    <w:rsid w:val="00F2291B"/>
    <w:rsid w:val="00F366C3"/>
    <w:rsid w:val="00F855AB"/>
    <w:rsid w:val="00F87840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D75"/>
  </w:style>
  <w:style w:type="paragraph" w:styleId="Piedepgina">
    <w:name w:val="footer"/>
    <w:basedOn w:val="Normal"/>
    <w:link w:val="PiedepginaCar"/>
    <w:uiPriority w:val="99"/>
    <w:semiHidden/>
    <w:unhideWhenUsed/>
    <w:rsid w:val="00105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5D75"/>
  </w:style>
  <w:style w:type="character" w:styleId="Hipervnculo">
    <w:name w:val="Hyperlink"/>
    <w:basedOn w:val="Fuentedeprrafopredeter"/>
    <w:uiPriority w:val="99"/>
    <w:unhideWhenUsed/>
    <w:rsid w:val="002443B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carraz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dt.edu/ver_contenido.php?id_contenido=3107&amp;id_item_menu=58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Carrazan</dc:creator>
  <cp:lastModifiedBy>Gaston</cp:lastModifiedBy>
  <cp:revision>2</cp:revision>
  <cp:lastPrinted>2012-05-09T18:24:00Z</cp:lastPrinted>
  <dcterms:created xsi:type="dcterms:W3CDTF">2013-12-12T18:23:00Z</dcterms:created>
  <dcterms:modified xsi:type="dcterms:W3CDTF">2013-12-12T18:23:00Z</dcterms:modified>
</cp:coreProperties>
</file>